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0A149BA">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0"/>
        <w:jc w:val="center"/>
        <w:textAlignment w:val="center"/>
        <w:rPr>
          <w:rFonts w:hint="eastAsia" w:ascii="宋体" w:hAnsi="宋体" w:eastAsia="宋体" w:cs="宋体"/>
          <w:i w:val="0"/>
          <w:caps w:val="0"/>
          <w:color w:val="333333"/>
          <w:spacing w:val="0"/>
          <w:sz w:val="44"/>
          <w:szCs w:val="44"/>
        </w:rPr>
      </w:pPr>
      <w:r>
        <w:rPr>
          <w:rFonts w:hint="eastAsia" w:ascii="宋体" w:hAnsi="宋体" w:eastAsia="宋体" w:cs="宋体"/>
          <w:i w:val="0"/>
          <w:caps w:val="0"/>
          <w:color w:val="333333"/>
          <w:spacing w:val="0"/>
          <w:sz w:val="44"/>
          <w:szCs w:val="44"/>
        </w:rPr>
        <w:t>汕头技师学院采购2025年工会会员</w:t>
      </w:r>
    </w:p>
    <w:p w14:paraId="4823FCE7">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150" w:afterAutospacing="0" w:line="480" w:lineRule="atLeast"/>
        <w:ind w:left="0" w:right="0" w:firstLine="0"/>
        <w:jc w:val="center"/>
        <w:textAlignment w:val="center"/>
        <w:rPr>
          <w:rFonts w:hint="eastAsia" w:ascii="宋体" w:hAnsi="宋体" w:eastAsia="宋体" w:cs="宋体"/>
          <w:i w:val="0"/>
          <w:caps w:val="0"/>
          <w:color w:val="333333"/>
          <w:spacing w:val="0"/>
          <w:sz w:val="44"/>
          <w:szCs w:val="44"/>
          <w:lang w:eastAsia="zh-CN"/>
        </w:rPr>
      </w:pPr>
      <w:r>
        <w:rPr>
          <w:rFonts w:hint="eastAsia" w:ascii="宋体" w:hAnsi="宋体" w:eastAsia="宋体" w:cs="宋体"/>
          <w:i w:val="0"/>
          <w:caps w:val="0"/>
          <w:color w:val="333333"/>
          <w:spacing w:val="0"/>
          <w:sz w:val="44"/>
          <w:szCs w:val="44"/>
        </w:rPr>
        <w:t>节日慰问品报价</w:t>
      </w:r>
      <w:r>
        <w:rPr>
          <w:rFonts w:hint="eastAsia" w:ascii="宋体" w:hAnsi="宋体" w:eastAsia="宋体" w:cs="宋体"/>
          <w:i w:val="0"/>
          <w:caps w:val="0"/>
          <w:color w:val="333333"/>
          <w:spacing w:val="0"/>
          <w:sz w:val="44"/>
          <w:szCs w:val="44"/>
          <w:lang w:eastAsia="zh-CN"/>
        </w:rPr>
        <w:t>单</w:t>
      </w:r>
    </w:p>
    <w:p w14:paraId="0F7A0F29">
      <w:pPr>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（采购编号：JSXYBJ202</w:t>
      </w:r>
      <w:r>
        <w:rPr>
          <w:rFonts w:hint="eastAsia" w:ascii="宋体" w:hAnsi="宋体" w:eastAsia="宋体" w:cs="宋体"/>
          <w:sz w:val="30"/>
          <w:szCs w:val="30"/>
          <w:lang w:val="en-US" w:eastAsia="zh-CN"/>
        </w:rPr>
        <w:t>5003</w:t>
      </w:r>
      <w:r>
        <w:rPr>
          <w:rFonts w:hint="eastAsia" w:ascii="宋体" w:hAnsi="宋体" w:eastAsia="宋体" w:cs="宋体"/>
          <w:sz w:val="30"/>
          <w:szCs w:val="30"/>
          <w:lang w:eastAsia="zh-CN"/>
        </w:rPr>
        <w:t>）</w:t>
      </w:r>
    </w:p>
    <w:p w14:paraId="1A24CA5E">
      <w:pPr>
        <w:rPr>
          <w:rFonts w:hint="eastAsia" w:ascii="宋体" w:hAnsi="宋体" w:eastAsia="宋体" w:cs="宋体"/>
          <w:i w:val="0"/>
          <w:caps w:val="0"/>
          <w:color w:val="333333"/>
          <w:spacing w:val="0"/>
          <w:sz w:val="28"/>
          <w:szCs w:val="28"/>
          <w:lang w:eastAsia="zh-CN"/>
        </w:rPr>
      </w:pPr>
    </w:p>
    <w:tbl>
      <w:tblPr>
        <w:tblStyle w:val="5"/>
        <w:tblW w:w="102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8"/>
        <w:gridCol w:w="2722"/>
        <w:gridCol w:w="3744"/>
        <w:gridCol w:w="2905"/>
      </w:tblGrid>
      <w:tr w14:paraId="7CB2D1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jc w:val="center"/>
        </w:trPr>
        <w:tc>
          <w:tcPr>
            <w:tcW w:w="868" w:type="dxa"/>
            <w:vAlign w:val="center"/>
          </w:tcPr>
          <w:p w14:paraId="1F3EE908">
            <w:pPr>
              <w:jc w:val="center"/>
              <w:rPr>
                <w:rFonts w:hint="eastAsia" w:ascii="宋体" w:hAnsi="宋体" w:eastAsia="宋体" w:cs="宋体"/>
                <w:i w:val="0"/>
                <w:caps w:val="0"/>
                <w:color w:val="333333"/>
                <w:spacing w:val="0"/>
                <w:sz w:val="28"/>
                <w:szCs w:val="28"/>
                <w:vertAlign w:val="baseline"/>
                <w:lang w:val="en-US" w:eastAsia="zh-CN"/>
              </w:rPr>
            </w:pPr>
            <w:r>
              <w:rPr>
                <w:rFonts w:hint="eastAsia" w:ascii="宋体" w:hAnsi="宋体" w:eastAsia="宋体" w:cs="宋体"/>
                <w:i w:val="0"/>
                <w:caps w:val="0"/>
                <w:color w:val="333333"/>
                <w:spacing w:val="0"/>
                <w:sz w:val="28"/>
                <w:szCs w:val="28"/>
                <w:vertAlign w:val="baseline"/>
                <w:lang w:val="en-US" w:eastAsia="zh-CN"/>
              </w:rPr>
              <w:t>序号</w:t>
            </w:r>
          </w:p>
        </w:tc>
        <w:tc>
          <w:tcPr>
            <w:tcW w:w="2722" w:type="dxa"/>
            <w:vAlign w:val="center"/>
          </w:tcPr>
          <w:p w14:paraId="215C3594">
            <w:pPr>
              <w:jc w:val="center"/>
              <w:rPr>
                <w:rFonts w:hint="eastAsia" w:ascii="宋体" w:hAnsi="宋体" w:eastAsia="宋体" w:cs="宋体"/>
                <w:i w:val="0"/>
                <w:caps w:val="0"/>
                <w:color w:val="333333"/>
                <w:spacing w:val="0"/>
                <w:sz w:val="28"/>
                <w:szCs w:val="28"/>
                <w:vertAlign w:val="baseline"/>
                <w:lang w:val="en-US" w:eastAsia="zh-CN"/>
              </w:rPr>
            </w:pPr>
            <w:r>
              <w:rPr>
                <w:rFonts w:hint="eastAsia" w:ascii="宋体" w:hAnsi="宋体" w:eastAsia="宋体" w:cs="宋体"/>
                <w:i w:val="0"/>
                <w:caps w:val="0"/>
                <w:color w:val="333333"/>
                <w:spacing w:val="0"/>
                <w:sz w:val="28"/>
                <w:szCs w:val="28"/>
                <w:vertAlign w:val="baseline"/>
                <w:lang w:val="en-US" w:eastAsia="zh-CN"/>
              </w:rPr>
              <w:t>货物内容</w:t>
            </w:r>
          </w:p>
        </w:tc>
        <w:tc>
          <w:tcPr>
            <w:tcW w:w="3744" w:type="dxa"/>
            <w:vAlign w:val="center"/>
          </w:tcPr>
          <w:p w14:paraId="6791DC65">
            <w:pPr>
              <w:jc w:val="center"/>
              <w:rPr>
                <w:rFonts w:hint="eastAsia" w:ascii="宋体" w:hAnsi="宋体" w:eastAsia="宋体" w:cs="宋体"/>
                <w:i w:val="0"/>
                <w:caps w:val="0"/>
                <w:color w:val="333333"/>
                <w:spacing w:val="0"/>
                <w:sz w:val="28"/>
                <w:szCs w:val="28"/>
                <w:vertAlign w:val="baseline"/>
                <w:lang w:val="en-US" w:eastAsia="zh-CN"/>
              </w:rPr>
            </w:pPr>
            <w:r>
              <w:rPr>
                <w:rFonts w:hint="eastAsia" w:ascii="宋体" w:hAnsi="宋体" w:eastAsia="宋体" w:cs="宋体"/>
                <w:i w:val="0"/>
                <w:caps w:val="0"/>
                <w:color w:val="333333"/>
                <w:spacing w:val="0"/>
                <w:sz w:val="28"/>
                <w:szCs w:val="28"/>
                <w:vertAlign w:val="baseline"/>
                <w:lang w:val="en-US" w:eastAsia="zh-CN"/>
              </w:rPr>
              <w:t>投标单价</w:t>
            </w:r>
          </w:p>
          <w:p w14:paraId="3EF0F0B5">
            <w:pPr>
              <w:jc w:val="center"/>
              <w:rPr>
                <w:rFonts w:hint="default" w:ascii="宋体" w:hAnsi="宋体" w:eastAsia="宋体" w:cs="宋体"/>
                <w:i w:val="0"/>
                <w:caps w:val="0"/>
                <w:color w:val="333333"/>
                <w:spacing w:val="0"/>
                <w:sz w:val="28"/>
                <w:szCs w:val="28"/>
                <w:vertAlign w:val="baseline"/>
                <w:lang w:val="en-US" w:eastAsia="zh-CN"/>
              </w:rPr>
            </w:pPr>
            <w:r>
              <w:rPr>
                <w:rFonts w:hint="eastAsia" w:ascii="宋体" w:hAnsi="宋体" w:eastAsia="宋体" w:cs="宋体"/>
                <w:i w:val="0"/>
                <w:caps w:val="0"/>
                <w:color w:val="333333"/>
                <w:spacing w:val="0"/>
                <w:sz w:val="28"/>
                <w:szCs w:val="28"/>
                <w:vertAlign w:val="baseline"/>
                <w:lang w:val="en-US" w:eastAsia="zh-CN"/>
              </w:rPr>
              <w:t>（即单张面额报价）</w:t>
            </w:r>
          </w:p>
        </w:tc>
        <w:tc>
          <w:tcPr>
            <w:tcW w:w="2905" w:type="dxa"/>
            <w:vAlign w:val="center"/>
          </w:tcPr>
          <w:p w14:paraId="1DED846F">
            <w:pPr>
              <w:jc w:val="center"/>
              <w:rPr>
                <w:rFonts w:hint="default" w:ascii="宋体" w:hAnsi="宋体" w:eastAsia="宋体" w:cs="宋体"/>
                <w:i w:val="0"/>
                <w:caps w:val="0"/>
                <w:color w:val="333333"/>
                <w:spacing w:val="0"/>
                <w:sz w:val="28"/>
                <w:szCs w:val="28"/>
                <w:vertAlign w:val="baseline"/>
                <w:lang w:val="en-US" w:eastAsia="zh-CN"/>
              </w:rPr>
            </w:pPr>
            <w:r>
              <w:rPr>
                <w:rFonts w:hint="eastAsia" w:ascii="宋体" w:hAnsi="宋体" w:eastAsia="宋体" w:cs="宋体"/>
                <w:i w:val="0"/>
                <w:caps w:val="0"/>
                <w:color w:val="333333"/>
                <w:spacing w:val="0"/>
                <w:sz w:val="28"/>
                <w:szCs w:val="28"/>
                <w:vertAlign w:val="baseline"/>
                <w:lang w:val="en-US" w:eastAsia="zh-CN"/>
              </w:rPr>
              <w:t>备注</w:t>
            </w:r>
          </w:p>
        </w:tc>
      </w:tr>
      <w:tr w14:paraId="7F6EDF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5" w:hRule="atLeast"/>
          <w:jc w:val="center"/>
        </w:trPr>
        <w:tc>
          <w:tcPr>
            <w:tcW w:w="868" w:type="dxa"/>
            <w:vAlign w:val="center"/>
          </w:tcPr>
          <w:p w14:paraId="4E70A208">
            <w:pPr>
              <w:jc w:val="center"/>
              <w:rPr>
                <w:rFonts w:hint="eastAsia" w:ascii="宋体" w:hAnsi="宋体" w:eastAsia="宋体" w:cs="宋体"/>
                <w:i w:val="0"/>
                <w:caps w:val="0"/>
                <w:color w:val="333333"/>
                <w:spacing w:val="0"/>
                <w:sz w:val="28"/>
                <w:szCs w:val="28"/>
                <w:vertAlign w:val="baseline"/>
                <w:lang w:val="en-US" w:eastAsia="zh-CN"/>
              </w:rPr>
            </w:pPr>
            <w:r>
              <w:rPr>
                <w:rFonts w:hint="eastAsia" w:ascii="宋体" w:hAnsi="宋体" w:eastAsia="宋体" w:cs="宋体"/>
                <w:i w:val="0"/>
                <w:caps w:val="0"/>
                <w:color w:val="333333"/>
                <w:spacing w:val="0"/>
                <w:sz w:val="28"/>
                <w:szCs w:val="28"/>
                <w:vertAlign w:val="baseline"/>
                <w:lang w:val="en-US" w:eastAsia="zh-CN"/>
              </w:rPr>
              <w:t>1</w:t>
            </w:r>
          </w:p>
        </w:tc>
        <w:tc>
          <w:tcPr>
            <w:tcW w:w="2722" w:type="dxa"/>
            <w:vAlign w:val="center"/>
          </w:tcPr>
          <w:p w14:paraId="4DF7A170">
            <w:pPr>
              <w:jc w:val="center"/>
              <w:rPr>
                <w:rFonts w:hint="default" w:ascii="宋体" w:hAnsi="宋体" w:eastAsia="宋体" w:cs="宋体"/>
                <w:i w:val="0"/>
                <w:caps w:val="0"/>
                <w:color w:val="333333"/>
                <w:spacing w:val="0"/>
                <w:sz w:val="28"/>
                <w:szCs w:val="28"/>
                <w:vertAlign w:val="baseline"/>
                <w:lang w:val="en-US" w:eastAsia="zh-CN"/>
              </w:rPr>
            </w:pPr>
            <w:r>
              <w:rPr>
                <w:rFonts w:hint="eastAsia" w:ascii="宋体" w:hAnsi="宋体" w:eastAsia="宋体" w:cs="宋体"/>
                <w:i w:val="0"/>
                <w:caps w:val="0"/>
                <w:color w:val="333333"/>
                <w:spacing w:val="0"/>
                <w:sz w:val="28"/>
                <w:szCs w:val="28"/>
                <w:vertAlign w:val="baseline"/>
                <w:lang w:val="en-US" w:eastAsia="zh-CN"/>
              </w:rPr>
              <w:t>节日慰问品</w:t>
            </w:r>
          </w:p>
        </w:tc>
        <w:tc>
          <w:tcPr>
            <w:tcW w:w="3744" w:type="dxa"/>
            <w:vAlign w:val="center"/>
          </w:tcPr>
          <w:p w14:paraId="5E9E88DE">
            <w:pPr>
              <w:jc w:val="center"/>
              <w:rPr>
                <w:rFonts w:hint="default" w:ascii="宋体" w:hAnsi="宋体" w:eastAsia="宋体" w:cs="宋体"/>
                <w:i w:val="0"/>
                <w:caps w:val="0"/>
                <w:color w:val="333333"/>
                <w:spacing w:val="0"/>
                <w:sz w:val="28"/>
                <w:szCs w:val="28"/>
                <w:vertAlign w:val="baseline"/>
                <w:lang w:val="en-US" w:eastAsia="zh-CN"/>
              </w:rPr>
            </w:pPr>
            <w:r>
              <w:rPr>
                <w:rFonts w:hint="eastAsia" w:ascii="宋体" w:hAnsi="宋体" w:eastAsia="宋体" w:cs="宋体"/>
                <w:i w:val="0"/>
                <w:caps w:val="0"/>
                <w:color w:val="333333"/>
                <w:spacing w:val="0"/>
                <w:sz w:val="28"/>
                <w:szCs w:val="28"/>
                <w:u w:val="single"/>
                <w:vertAlign w:val="baseline"/>
                <w:lang w:val="en-US" w:eastAsia="zh-CN"/>
              </w:rPr>
              <w:t xml:space="preserve">      </w:t>
            </w:r>
            <w:r>
              <w:rPr>
                <w:rFonts w:hint="eastAsia" w:ascii="宋体" w:hAnsi="宋体" w:eastAsia="宋体" w:cs="宋体"/>
                <w:i w:val="0"/>
                <w:caps w:val="0"/>
                <w:color w:val="333333"/>
                <w:spacing w:val="0"/>
                <w:sz w:val="28"/>
                <w:szCs w:val="28"/>
                <w:u w:val="none"/>
                <w:vertAlign w:val="baseline"/>
                <w:lang w:val="en-US" w:eastAsia="zh-CN"/>
              </w:rPr>
              <w:t>元</w:t>
            </w:r>
          </w:p>
        </w:tc>
        <w:tc>
          <w:tcPr>
            <w:tcW w:w="2905" w:type="dxa"/>
            <w:vAlign w:val="center"/>
          </w:tcPr>
          <w:p w14:paraId="266087D2">
            <w:pPr>
              <w:jc w:val="both"/>
              <w:rPr>
                <w:rFonts w:hint="default" w:ascii="宋体" w:hAnsi="宋体" w:eastAsia="宋体" w:cs="宋体"/>
                <w:b/>
                <w:bCs/>
                <w:color w:val="333333"/>
                <w:sz w:val="28"/>
                <w:szCs w:val="28"/>
                <w:lang w:val="en-US" w:eastAsia="zh-CN"/>
              </w:rPr>
            </w:pPr>
            <w:r>
              <w:rPr>
                <w:rFonts w:hint="eastAsia" w:ascii="仿宋" w:hAnsi="仿宋" w:eastAsia="仿宋" w:cs="Tahoma"/>
                <w:color w:val="333333"/>
                <w:sz w:val="32"/>
                <w:szCs w:val="32"/>
                <w:lang w:val="en-US" w:eastAsia="zh-CN"/>
              </w:rPr>
              <w:t>共4个节日</w:t>
            </w:r>
            <w:r>
              <w:rPr>
                <w:rFonts w:hint="eastAsia" w:ascii="仿宋" w:hAnsi="仿宋" w:eastAsia="仿宋" w:cs="Tahoma"/>
                <w:color w:val="333333"/>
                <w:sz w:val="32"/>
                <w:szCs w:val="32"/>
              </w:rPr>
              <w:t>（春节、五一、中秋、国庆）</w:t>
            </w:r>
          </w:p>
        </w:tc>
      </w:tr>
    </w:tbl>
    <w:p w14:paraId="6BC74F87">
      <w:pPr>
        <w:rPr>
          <w:rFonts w:hint="eastAsia" w:ascii="宋体" w:hAnsi="宋体" w:eastAsia="宋体" w:cs="宋体"/>
          <w:i w:val="0"/>
          <w:caps w:val="0"/>
          <w:color w:val="333333"/>
          <w:spacing w:val="0"/>
          <w:sz w:val="28"/>
          <w:szCs w:val="28"/>
          <w:lang w:val="en-US" w:eastAsia="zh-CN"/>
        </w:rPr>
      </w:pPr>
    </w:p>
    <w:p w14:paraId="167644CC">
      <w:pPr>
        <w:rPr>
          <w:rFonts w:hint="default" w:ascii="宋体" w:hAnsi="宋体" w:eastAsia="宋体" w:cs="宋体"/>
          <w:i w:val="0"/>
          <w:caps w:val="0"/>
          <w:color w:val="333333"/>
          <w:spacing w:val="0"/>
          <w:sz w:val="28"/>
          <w:szCs w:val="28"/>
          <w:lang w:val="en-US" w:eastAsia="zh-CN"/>
        </w:rPr>
      </w:pPr>
      <w:r>
        <w:rPr>
          <w:rFonts w:hint="eastAsia" w:ascii="宋体" w:hAnsi="宋体" w:eastAsia="宋体" w:cs="宋体"/>
          <w:i w:val="0"/>
          <w:caps w:val="0"/>
          <w:color w:val="333333"/>
          <w:spacing w:val="0"/>
          <w:sz w:val="28"/>
          <w:szCs w:val="28"/>
          <w:lang w:val="en-US" w:eastAsia="zh-CN"/>
        </w:rPr>
        <w:t>注：低于200元/张的将被视为无效报价</w:t>
      </w:r>
    </w:p>
    <w:p w14:paraId="61A7E24D">
      <w:pPr>
        <w:jc w:val="both"/>
        <w:rPr>
          <w:rFonts w:hint="default" w:ascii="宋体" w:hAnsi="宋体" w:eastAsia="宋体" w:cs="宋体"/>
          <w:i w:val="0"/>
          <w:caps w:val="0"/>
          <w:color w:val="333333"/>
          <w:spacing w:val="0"/>
          <w:sz w:val="28"/>
          <w:szCs w:val="28"/>
          <w:vertAlign w:val="baseline"/>
          <w:lang w:val="en-US" w:eastAsia="zh-CN"/>
        </w:rPr>
      </w:pPr>
      <w:r>
        <w:rPr>
          <w:rFonts w:hint="eastAsia" w:ascii="宋体" w:hAnsi="宋体" w:eastAsia="宋体" w:cs="宋体"/>
          <w:i w:val="0"/>
          <w:caps w:val="0"/>
          <w:color w:val="333333"/>
          <w:spacing w:val="0"/>
          <w:sz w:val="28"/>
          <w:szCs w:val="28"/>
          <w:vertAlign w:val="baseline"/>
          <w:lang w:val="en-US" w:eastAsia="zh-CN"/>
        </w:rPr>
        <w:t>附：评审标准</w:t>
      </w:r>
    </w:p>
    <w:p w14:paraId="3F35E18C">
      <w:pPr>
        <w:rPr>
          <w:rFonts w:hint="eastAsia" w:ascii="宋体" w:hAnsi="宋体" w:eastAsia="宋体" w:cs="宋体"/>
          <w:i w:val="0"/>
          <w:caps w:val="0"/>
          <w:color w:val="333333"/>
          <w:spacing w:val="0"/>
          <w:sz w:val="28"/>
          <w:szCs w:val="28"/>
          <w:lang w:val="en-US" w:eastAsia="zh-CN"/>
        </w:rPr>
      </w:pPr>
    </w:p>
    <w:p w14:paraId="3A86A206">
      <w:pPr>
        <w:rPr>
          <w:rFonts w:hint="eastAsia" w:ascii="宋体" w:hAnsi="宋体" w:eastAsia="宋体" w:cs="宋体"/>
          <w:i w:val="0"/>
          <w:caps w:val="0"/>
          <w:color w:val="333333"/>
          <w:spacing w:val="0"/>
          <w:sz w:val="28"/>
          <w:szCs w:val="28"/>
          <w:lang w:val="en-US" w:eastAsia="zh-CN"/>
        </w:rPr>
      </w:pPr>
    </w:p>
    <w:p w14:paraId="0B52BA30">
      <w:pPr>
        <w:rPr>
          <w:rFonts w:hint="eastAsia" w:ascii="宋体" w:hAnsi="宋体" w:eastAsia="宋体" w:cs="宋体"/>
          <w:i w:val="0"/>
          <w:caps w:val="0"/>
          <w:color w:val="333333"/>
          <w:spacing w:val="0"/>
          <w:sz w:val="28"/>
          <w:szCs w:val="28"/>
          <w:lang w:val="en-US" w:eastAsia="zh-CN"/>
        </w:rPr>
      </w:pPr>
    </w:p>
    <w:p w14:paraId="6A017271">
      <w:pPr>
        <w:rPr>
          <w:rFonts w:hint="eastAsia" w:ascii="宋体" w:hAnsi="宋体" w:eastAsia="宋体" w:cs="宋体"/>
          <w:i w:val="0"/>
          <w:caps w:val="0"/>
          <w:color w:val="333333"/>
          <w:spacing w:val="0"/>
          <w:sz w:val="28"/>
          <w:szCs w:val="28"/>
          <w:lang w:val="en-US" w:eastAsia="zh-CN"/>
        </w:rPr>
      </w:pPr>
    </w:p>
    <w:p w14:paraId="27446AB6">
      <w:pPr>
        <w:rPr>
          <w:rFonts w:hint="eastAsia" w:ascii="宋体" w:hAnsi="宋体" w:eastAsia="宋体" w:cs="宋体"/>
          <w:i w:val="0"/>
          <w:caps w:val="0"/>
          <w:color w:val="333333"/>
          <w:spacing w:val="0"/>
          <w:sz w:val="28"/>
          <w:szCs w:val="28"/>
          <w:lang w:val="en-US" w:eastAsia="zh-CN"/>
        </w:rPr>
      </w:pPr>
    </w:p>
    <w:p w14:paraId="1C291048">
      <w:pPr>
        <w:rPr>
          <w:rFonts w:hint="eastAsia" w:ascii="宋体" w:hAnsi="宋体" w:eastAsia="宋体" w:cs="宋体"/>
          <w:i w:val="0"/>
          <w:caps w:val="0"/>
          <w:color w:val="333333"/>
          <w:spacing w:val="0"/>
          <w:sz w:val="28"/>
          <w:szCs w:val="28"/>
          <w:lang w:val="en-US" w:eastAsia="zh-CN"/>
        </w:rPr>
      </w:pPr>
    </w:p>
    <w:p w14:paraId="45957D3C">
      <w:pPr>
        <w:rPr>
          <w:rFonts w:hint="eastAsia" w:ascii="宋体" w:hAnsi="宋体" w:eastAsia="宋体" w:cs="宋体"/>
          <w:i w:val="0"/>
          <w:caps w:val="0"/>
          <w:color w:val="333333"/>
          <w:spacing w:val="0"/>
          <w:sz w:val="28"/>
          <w:szCs w:val="28"/>
          <w:lang w:val="en-US" w:eastAsia="zh-CN"/>
        </w:rPr>
      </w:pPr>
    </w:p>
    <w:p w14:paraId="2CBC9703">
      <w:pPr>
        <w:rPr>
          <w:rFonts w:hint="eastAsia" w:ascii="宋体" w:hAnsi="宋体" w:eastAsia="宋体" w:cs="宋体"/>
          <w:i w:val="0"/>
          <w:caps w:val="0"/>
          <w:color w:val="333333"/>
          <w:spacing w:val="0"/>
          <w:sz w:val="28"/>
          <w:szCs w:val="28"/>
          <w:lang w:val="en-US" w:eastAsia="zh-CN"/>
        </w:rPr>
      </w:pPr>
    </w:p>
    <w:p w14:paraId="2CC48A1D">
      <w:pPr>
        <w:rPr>
          <w:rFonts w:hint="eastAsia" w:ascii="宋体" w:hAnsi="宋体" w:eastAsia="宋体" w:cs="宋体"/>
          <w:i w:val="0"/>
          <w:caps w:val="0"/>
          <w:color w:val="333333"/>
          <w:spacing w:val="0"/>
          <w:sz w:val="28"/>
          <w:szCs w:val="28"/>
          <w:lang w:val="en-US" w:eastAsia="zh-CN"/>
        </w:rPr>
      </w:pPr>
    </w:p>
    <w:p w14:paraId="52ED9824">
      <w:pPr>
        <w:rPr>
          <w:rFonts w:hint="eastAsia" w:ascii="宋体" w:hAnsi="宋体" w:eastAsia="宋体" w:cs="宋体"/>
          <w:i w:val="0"/>
          <w:caps w:val="0"/>
          <w:color w:val="333333"/>
          <w:spacing w:val="0"/>
          <w:sz w:val="28"/>
          <w:szCs w:val="28"/>
          <w:lang w:val="en-US" w:eastAsia="zh-CN"/>
        </w:rPr>
      </w:pPr>
    </w:p>
    <w:p w14:paraId="0887108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snapToGrid/>
        <w:spacing w:before="0" w:beforeAutospacing="0" w:after="0" w:afterAutospacing="0" w:line="480" w:lineRule="atLeast"/>
        <w:ind w:left="0" w:right="0" w:firstLine="0"/>
        <w:jc w:val="center"/>
        <w:textAlignment w:val="center"/>
        <w:rPr>
          <w:rFonts w:hint="default" w:ascii="宋体" w:hAnsi="宋体" w:eastAsia="宋体" w:cs="宋体"/>
          <w:i w:val="0"/>
          <w:caps w:val="0"/>
          <w:color w:val="333333"/>
          <w:spacing w:val="0"/>
          <w:sz w:val="44"/>
          <w:szCs w:val="44"/>
          <w:lang w:val="en-US" w:eastAsia="zh-CN"/>
        </w:rPr>
      </w:pPr>
      <w:r>
        <w:rPr>
          <w:rFonts w:hint="eastAsia" w:cs="宋体"/>
          <w:i w:val="0"/>
          <w:caps w:val="0"/>
          <w:color w:val="333333"/>
          <w:spacing w:val="0"/>
          <w:sz w:val="44"/>
          <w:szCs w:val="44"/>
          <w:lang w:val="en-US" w:eastAsia="zh-CN"/>
        </w:rPr>
        <w:t>评审标准</w:t>
      </w:r>
    </w:p>
    <w:p w14:paraId="3B888A70">
      <w:pPr>
        <w:jc w:val="center"/>
        <w:rPr>
          <w:rFonts w:hint="eastAsia" w:ascii="宋体" w:hAnsi="宋体" w:eastAsia="宋体" w:cs="宋体"/>
          <w:sz w:val="30"/>
          <w:szCs w:val="30"/>
          <w:lang w:eastAsia="zh-CN"/>
        </w:rPr>
      </w:pPr>
      <w:r>
        <w:rPr>
          <w:rFonts w:hint="eastAsia" w:ascii="宋体" w:hAnsi="宋体" w:eastAsia="宋体" w:cs="宋体"/>
          <w:sz w:val="30"/>
          <w:szCs w:val="30"/>
          <w:lang w:eastAsia="zh-CN"/>
        </w:rPr>
        <w:t>（采购编号：JSXYBJ202</w:t>
      </w:r>
      <w:r>
        <w:rPr>
          <w:rFonts w:hint="eastAsia" w:ascii="宋体" w:hAnsi="宋体" w:eastAsia="宋体" w:cs="宋体"/>
          <w:sz w:val="30"/>
          <w:szCs w:val="30"/>
          <w:lang w:val="en-US" w:eastAsia="zh-CN"/>
        </w:rPr>
        <w:t>5003</w:t>
      </w:r>
      <w:r>
        <w:rPr>
          <w:rFonts w:hint="eastAsia" w:ascii="宋体" w:hAnsi="宋体" w:eastAsia="宋体" w:cs="宋体"/>
          <w:sz w:val="30"/>
          <w:szCs w:val="30"/>
          <w:lang w:eastAsia="zh-CN"/>
        </w:rPr>
        <w:t>）</w:t>
      </w:r>
    </w:p>
    <w:tbl>
      <w:tblPr>
        <w:tblStyle w:val="4"/>
        <w:tblW w:w="9885" w:type="dxa"/>
        <w:tblInd w:w="-636"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446"/>
        <w:gridCol w:w="2814"/>
        <w:gridCol w:w="5625"/>
      </w:tblGrid>
      <w:tr w14:paraId="725DDC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442" w:hRule="atLeast"/>
        </w:trPr>
        <w:tc>
          <w:tcPr>
            <w:tcW w:w="1446" w:type="dxa"/>
            <w:vAlign w:val="center"/>
          </w:tcPr>
          <w:p w14:paraId="366D5A87">
            <w:pPr>
              <w:pStyle w:val="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评审因素</w:t>
            </w:r>
          </w:p>
        </w:tc>
        <w:tc>
          <w:tcPr>
            <w:tcW w:w="8439" w:type="dxa"/>
            <w:gridSpan w:val="2"/>
            <w:vAlign w:val="center"/>
          </w:tcPr>
          <w:p w14:paraId="5DA3A063">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评审标准</w:t>
            </w:r>
          </w:p>
        </w:tc>
      </w:tr>
      <w:tr w14:paraId="495CF8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541" w:hRule="atLeast"/>
        </w:trPr>
        <w:tc>
          <w:tcPr>
            <w:tcW w:w="1446" w:type="dxa"/>
            <w:vAlign w:val="center"/>
          </w:tcPr>
          <w:p w14:paraId="78400DC8">
            <w:pPr>
              <w:pStyle w:val="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分值构成</w:t>
            </w:r>
          </w:p>
        </w:tc>
        <w:tc>
          <w:tcPr>
            <w:tcW w:w="8439" w:type="dxa"/>
            <w:gridSpan w:val="2"/>
            <w:vAlign w:val="center"/>
          </w:tcPr>
          <w:p w14:paraId="52249FF0">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r>
              <w:rPr>
                <w:rFonts w:hint="eastAsia" w:asciiTheme="minorEastAsia" w:hAnsiTheme="minorEastAsia" w:cstheme="minorEastAsia"/>
                <w:sz w:val="24"/>
                <w:szCs w:val="24"/>
                <w:lang w:val="en-US" w:eastAsia="zh-CN"/>
              </w:rPr>
              <w:t>70</w:t>
            </w:r>
            <w:r>
              <w:rPr>
                <w:rFonts w:hint="eastAsia" w:asciiTheme="minorEastAsia" w:hAnsiTheme="minorEastAsia" w:eastAsiaTheme="minorEastAsia" w:cstheme="minorEastAsia"/>
                <w:sz w:val="24"/>
                <w:szCs w:val="24"/>
              </w:rPr>
              <w:t>分</w:t>
            </w:r>
          </w:p>
          <w:p w14:paraId="4482D986">
            <w:pPr>
              <w:pStyle w:val="7"/>
              <w:jc w:val="both"/>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报价得分</w:t>
            </w:r>
            <w:r>
              <w:rPr>
                <w:rFonts w:hint="eastAsia" w:asciiTheme="minorEastAsia" w:hAnsiTheme="minorEastAsia" w:cstheme="minorEastAsia"/>
                <w:sz w:val="24"/>
                <w:szCs w:val="24"/>
                <w:lang w:val="en-US" w:eastAsia="zh-CN"/>
              </w:rPr>
              <w:t>3</w:t>
            </w:r>
            <w:r>
              <w:rPr>
                <w:rFonts w:hint="eastAsia" w:asciiTheme="minorEastAsia" w:hAnsiTheme="minorEastAsia" w:eastAsiaTheme="minorEastAsia" w:cstheme="minorEastAsia"/>
                <w:sz w:val="24"/>
                <w:szCs w:val="24"/>
                <w:lang w:val="en-US" w:eastAsia="zh-CN"/>
              </w:rPr>
              <w:t>0</w:t>
            </w:r>
            <w:r>
              <w:rPr>
                <w:rFonts w:hint="eastAsia" w:asciiTheme="minorEastAsia" w:hAnsiTheme="minorEastAsia" w:eastAsiaTheme="minorEastAsia" w:cstheme="minorEastAsia"/>
                <w:sz w:val="24"/>
                <w:szCs w:val="24"/>
              </w:rPr>
              <w:t>分</w:t>
            </w:r>
          </w:p>
        </w:tc>
      </w:tr>
      <w:tr w14:paraId="4B7BD48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2215" w:hRule="atLeast"/>
        </w:trPr>
        <w:tc>
          <w:tcPr>
            <w:tcW w:w="1446" w:type="dxa"/>
            <w:vMerge w:val="restart"/>
            <w:vAlign w:val="center"/>
          </w:tcPr>
          <w:p w14:paraId="3739D649">
            <w:pPr>
              <w:pStyle w:val="7"/>
              <w:jc w:val="cente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技术部分</w:t>
            </w:r>
          </w:p>
        </w:tc>
        <w:tc>
          <w:tcPr>
            <w:tcW w:w="2814" w:type="dxa"/>
            <w:tcBorders>
              <w:bottom w:val="single" w:color="auto" w:sz="4" w:space="0"/>
            </w:tcBorders>
            <w:vAlign w:val="center"/>
          </w:tcPr>
          <w:p w14:paraId="14C82271">
            <w:pPr>
              <w:pStyle w:val="7"/>
              <w:jc w:val="both"/>
              <w:rPr>
                <w:rFonts w:hint="eastAsia" w:asciiTheme="minorEastAsia" w:hAnsiTheme="minorEastAsia" w:eastAsiaTheme="minorEastAsia" w:cstheme="minorEastAsia"/>
                <w:sz w:val="24"/>
                <w:szCs w:val="24"/>
              </w:rPr>
            </w:pPr>
            <w:r>
              <w:rPr>
                <w:rFonts w:hint="eastAsia" w:asciiTheme="minorEastAsia" w:hAnsiTheme="minorEastAsia" w:cstheme="minorEastAsia"/>
                <w:sz w:val="24"/>
                <w:szCs w:val="24"/>
                <w:lang w:val="en-US" w:eastAsia="zh-CN"/>
              </w:rPr>
              <w:t>商品种类</w:t>
            </w:r>
            <w:r>
              <w:rPr>
                <w:rFonts w:hint="eastAsia" w:asciiTheme="minorEastAsia" w:hAnsiTheme="minorEastAsia" w:eastAsiaTheme="minorEastAsia" w:cstheme="minorEastAsia"/>
                <w:sz w:val="24"/>
                <w:szCs w:val="24"/>
              </w:rPr>
              <w:t xml:space="preserve"> (</w:t>
            </w:r>
            <w:r>
              <w:rPr>
                <w:rFonts w:hint="eastAsia" w:asciiTheme="minorEastAsia" w:hAnsiTheme="minorEastAsia" w:cstheme="minorEastAsia"/>
                <w:sz w:val="24"/>
                <w:szCs w:val="24"/>
                <w:lang w:val="en-US" w:eastAsia="zh-CN"/>
              </w:rPr>
              <w:t>20</w:t>
            </w:r>
            <w:r>
              <w:rPr>
                <w:rFonts w:hint="eastAsia" w:asciiTheme="minorEastAsia" w:hAnsiTheme="minorEastAsia" w:eastAsiaTheme="minorEastAsia" w:cstheme="minorEastAsia"/>
                <w:sz w:val="24"/>
                <w:szCs w:val="24"/>
              </w:rPr>
              <w:t>分)</w:t>
            </w:r>
          </w:p>
        </w:tc>
        <w:tc>
          <w:tcPr>
            <w:tcW w:w="5625" w:type="dxa"/>
            <w:tcBorders>
              <w:bottom w:val="single" w:color="auto" w:sz="4" w:space="0"/>
            </w:tcBorders>
            <w:vAlign w:val="center"/>
          </w:tcPr>
          <w:p w14:paraId="6897D517">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本项目提货券可购买供应商店内任意商品。针对供应商提供的商品进行评分:  </w:t>
            </w:r>
          </w:p>
          <w:p w14:paraId="6355BF0F">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1、提货券可以购买米、面、油、蛋、奶、蔬果、生鲜、饮料等八类及以上商品，得20分；  </w:t>
            </w:r>
          </w:p>
          <w:p w14:paraId="59DFF2D3">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2、提货券可以购买米、面、油、蛋、奶、蔬果、生鲜、饮料等六类商品，得15分；</w:t>
            </w:r>
          </w:p>
          <w:p w14:paraId="146E46D9">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3、提货券可以购买米、面、油、蛋、奶、蔬果、生鲜、饮料等四类商品，得10分；  </w:t>
            </w:r>
          </w:p>
          <w:p w14:paraId="7A52D1A9">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4、提货券可以购买米、面、油、蛋、奶、蔬果、生鲜、饮料等两类商品，得 5 分。  </w:t>
            </w:r>
          </w:p>
          <w:p w14:paraId="20FCF38D">
            <w:pPr>
              <w:pStyle w:val="7"/>
              <w:jc w:val="both"/>
              <w:rPr>
                <w:rFonts w:hint="eastAsia" w:eastAsia="宋体" w:asciiTheme="minorEastAsia" w:hAnsiTheme="minorEastAsia" w:cstheme="minorEastAsia"/>
                <w:sz w:val="24"/>
                <w:szCs w:val="24"/>
                <w:lang w:eastAsia="zh-CN"/>
              </w:rPr>
            </w:pPr>
            <w:r>
              <w:rPr>
                <w:rFonts w:hint="eastAsia" w:asciiTheme="minorEastAsia" w:hAnsiTheme="minorEastAsia" w:eastAsiaTheme="minorEastAsia" w:cstheme="minorEastAsia"/>
                <w:sz w:val="24"/>
                <w:szCs w:val="24"/>
                <w:lang w:eastAsia="zh-CN"/>
              </w:rPr>
              <w:t>注:本项只计算一次，不得重复计分。 需提供承诺函，格式自拟。</w:t>
            </w:r>
          </w:p>
        </w:tc>
      </w:tr>
      <w:tr w14:paraId="4FC7BB8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3" w:hRule="atLeast"/>
        </w:trPr>
        <w:tc>
          <w:tcPr>
            <w:tcW w:w="1446" w:type="dxa"/>
            <w:vMerge w:val="continue"/>
            <w:vAlign w:val="center"/>
          </w:tcPr>
          <w:p w14:paraId="1E0F2A23">
            <w:pPr>
              <w:pStyle w:val="7"/>
              <w:jc w:val="center"/>
              <w:rPr>
                <w:rFonts w:hint="eastAsia" w:asciiTheme="minorEastAsia" w:hAnsiTheme="minorEastAsia" w:eastAsiaTheme="minorEastAsia" w:cstheme="minorEastAsia"/>
                <w:sz w:val="24"/>
                <w:szCs w:val="24"/>
              </w:rPr>
            </w:pPr>
          </w:p>
        </w:tc>
        <w:tc>
          <w:tcPr>
            <w:tcW w:w="2814" w:type="dxa"/>
            <w:tcBorders>
              <w:top w:val="single" w:color="auto" w:sz="4" w:space="0"/>
            </w:tcBorders>
            <w:shd w:val="clear" w:color="auto" w:fill="auto"/>
            <w:vAlign w:val="center"/>
          </w:tcPr>
          <w:p w14:paraId="77B033A0">
            <w:pPr>
              <w:pStyle w:val="7"/>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售后服务人员配备（7分）</w:t>
            </w:r>
          </w:p>
        </w:tc>
        <w:tc>
          <w:tcPr>
            <w:tcW w:w="5625" w:type="dxa"/>
            <w:tcBorders>
              <w:top w:val="single" w:color="auto" w:sz="4" w:space="0"/>
            </w:tcBorders>
            <w:vAlign w:val="center"/>
          </w:tcPr>
          <w:p w14:paraId="1850CFB0">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供应商为项目设有专门的售后服务人员，设立服务热线电话。发生售后问题时，供应商需要在半小时内响应，如有需要1小时内到达采购人现场。此项可得7 分。</w:t>
            </w:r>
          </w:p>
          <w:p w14:paraId="47BB6F01">
            <w:pPr>
              <w:pStyle w:val="7"/>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注：需提供该服务人员的名字、手机号等联系方式，并附上供应商最近一个月为该服务人员缴纳的社保缴纳证明复印件加盖单位公章。</w:t>
            </w:r>
          </w:p>
        </w:tc>
      </w:tr>
      <w:tr w14:paraId="5C5520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3" w:hRule="atLeast"/>
        </w:trPr>
        <w:tc>
          <w:tcPr>
            <w:tcW w:w="1446" w:type="dxa"/>
            <w:vMerge w:val="continue"/>
            <w:vAlign w:val="center"/>
          </w:tcPr>
          <w:p w14:paraId="401E3A5C">
            <w:pPr>
              <w:pStyle w:val="7"/>
              <w:jc w:val="center"/>
              <w:rPr>
                <w:rFonts w:hint="eastAsia" w:asciiTheme="minorEastAsia" w:hAnsiTheme="minorEastAsia" w:eastAsiaTheme="minorEastAsia" w:cstheme="minorEastAsia"/>
                <w:sz w:val="24"/>
                <w:szCs w:val="24"/>
              </w:rPr>
            </w:pPr>
          </w:p>
        </w:tc>
        <w:tc>
          <w:tcPr>
            <w:tcW w:w="2814" w:type="dxa"/>
            <w:tcBorders>
              <w:top w:val="single" w:color="auto" w:sz="4" w:space="0"/>
            </w:tcBorders>
            <w:shd w:val="clear" w:color="auto" w:fill="auto"/>
            <w:vAlign w:val="center"/>
          </w:tcPr>
          <w:p w14:paraId="44B38535">
            <w:pPr>
              <w:pStyle w:val="7"/>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服务方案（8分）</w:t>
            </w:r>
          </w:p>
        </w:tc>
        <w:tc>
          <w:tcPr>
            <w:tcW w:w="5625" w:type="dxa"/>
            <w:tcBorders>
              <w:top w:val="single" w:color="auto" w:sz="4" w:space="0"/>
            </w:tcBorders>
            <w:vAlign w:val="center"/>
          </w:tcPr>
          <w:p w14:paraId="644A3DA1">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1.具有具体有效的服务承诺方案，有齐全的售后服务管理体系，承诺保障货物服务质量，如有质量问题能重新退货换货，得8分；</w:t>
            </w:r>
          </w:p>
          <w:p w14:paraId="0BB0670A">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2.服务承诺方案一般，售后服务管理体系一般，承诺保障货物质量，如有质量问题能重新退货换货，得5 分；</w:t>
            </w:r>
          </w:p>
          <w:p w14:paraId="370C4275">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3.服务承诺方案差，无完整的售后服务体系，不能提供对货物质量的保障承诺，得2分；</w:t>
            </w:r>
          </w:p>
          <w:p w14:paraId="15AF787C">
            <w:pPr>
              <w:pStyle w:val="7"/>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4.无提供服务方案，得0分。</w:t>
            </w:r>
          </w:p>
        </w:tc>
      </w:tr>
      <w:tr w14:paraId="1A6D3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348" w:hRule="atLeast"/>
        </w:trPr>
        <w:tc>
          <w:tcPr>
            <w:tcW w:w="1446" w:type="dxa"/>
            <w:vMerge w:val="continue"/>
            <w:vAlign w:val="center"/>
          </w:tcPr>
          <w:p w14:paraId="20D7541A">
            <w:pPr>
              <w:pStyle w:val="7"/>
              <w:jc w:val="center"/>
              <w:rPr>
                <w:rFonts w:hint="eastAsia" w:asciiTheme="minorEastAsia" w:hAnsiTheme="minorEastAsia" w:eastAsiaTheme="minorEastAsia" w:cstheme="minorEastAsia"/>
                <w:sz w:val="24"/>
                <w:szCs w:val="24"/>
              </w:rPr>
            </w:pPr>
          </w:p>
        </w:tc>
        <w:tc>
          <w:tcPr>
            <w:tcW w:w="2814" w:type="dxa"/>
            <w:tcBorders>
              <w:top w:val="single" w:color="auto" w:sz="4" w:space="0"/>
            </w:tcBorders>
            <w:shd w:val="clear" w:color="auto" w:fill="auto"/>
            <w:vAlign w:val="center"/>
          </w:tcPr>
          <w:p w14:paraId="13BAF677">
            <w:pPr>
              <w:pStyle w:val="7"/>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门店面积（15分）</w:t>
            </w:r>
          </w:p>
        </w:tc>
        <w:tc>
          <w:tcPr>
            <w:tcW w:w="5625" w:type="dxa"/>
            <w:tcBorders>
              <w:top w:val="single" w:color="auto" w:sz="4" w:space="0"/>
            </w:tcBorders>
            <w:vAlign w:val="center"/>
          </w:tcPr>
          <w:p w14:paraId="75AB7352">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根据供应商在汕头市区（金平区、龙湖区）设有连锁或直营门店的门店面积进行评分：</w:t>
            </w:r>
          </w:p>
          <w:p w14:paraId="21B5D2BF">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1、供应商门店面积300平米（含）以上的，每一家门店得3分；</w:t>
            </w:r>
          </w:p>
          <w:p w14:paraId="76ADE099">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2、供应商门店面积200平米（含）以上的，每一家门店得2分；</w:t>
            </w:r>
          </w:p>
          <w:p w14:paraId="228C8C2A">
            <w:pPr>
              <w:pStyle w:val="7"/>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注：本项最高得15分，且供应商每一家门店只计算一次，不得重复计分。需提供门店产权证或租赁证明复印件。</w:t>
            </w:r>
          </w:p>
        </w:tc>
      </w:tr>
      <w:tr w14:paraId="3EB03D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233" w:hRule="atLeast"/>
        </w:trPr>
        <w:tc>
          <w:tcPr>
            <w:tcW w:w="1446" w:type="dxa"/>
            <w:vMerge w:val="continue"/>
            <w:vAlign w:val="center"/>
          </w:tcPr>
          <w:p w14:paraId="046990F7">
            <w:pPr>
              <w:pStyle w:val="7"/>
              <w:jc w:val="center"/>
              <w:rPr>
                <w:rFonts w:hint="eastAsia" w:asciiTheme="minorEastAsia" w:hAnsiTheme="minorEastAsia" w:eastAsiaTheme="minorEastAsia" w:cstheme="minorEastAsia"/>
                <w:sz w:val="24"/>
                <w:szCs w:val="24"/>
              </w:rPr>
            </w:pPr>
          </w:p>
        </w:tc>
        <w:tc>
          <w:tcPr>
            <w:tcW w:w="2814" w:type="dxa"/>
            <w:tcBorders>
              <w:top w:val="single" w:color="auto" w:sz="4" w:space="0"/>
            </w:tcBorders>
            <w:shd w:val="clear" w:color="auto" w:fill="auto"/>
            <w:vAlign w:val="center"/>
          </w:tcPr>
          <w:p w14:paraId="45F19933">
            <w:pPr>
              <w:pStyle w:val="7"/>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门店数量（10分）</w:t>
            </w:r>
          </w:p>
        </w:tc>
        <w:tc>
          <w:tcPr>
            <w:tcW w:w="5625" w:type="dxa"/>
            <w:tcBorders>
              <w:top w:val="single" w:color="auto" w:sz="4" w:space="0"/>
            </w:tcBorders>
            <w:vAlign w:val="center"/>
          </w:tcPr>
          <w:p w14:paraId="71558A54">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供应商在汕头市区（金平区、龙湖区）设有连锁或直营门店且门店数量在8家以上（含8家），得10分；6-7家，得7分；5家得4分；5家以下不得分。</w:t>
            </w:r>
          </w:p>
          <w:p w14:paraId="7CE74EFC">
            <w:pPr>
              <w:pStyle w:val="7"/>
              <w:jc w:val="both"/>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eastAsia="zh-CN"/>
              </w:rPr>
              <w:t>注：需提供各门店地址、联系人、联系方式的名单加盖单位公章。</w:t>
            </w:r>
          </w:p>
        </w:tc>
      </w:tr>
      <w:tr w14:paraId="2050FE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918" w:hRule="atLeast"/>
        </w:trPr>
        <w:tc>
          <w:tcPr>
            <w:tcW w:w="1446" w:type="dxa"/>
            <w:vMerge w:val="continue"/>
            <w:vAlign w:val="center"/>
          </w:tcPr>
          <w:p w14:paraId="678362F0">
            <w:pPr>
              <w:pStyle w:val="7"/>
              <w:jc w:val="center"/>
              <w:rPr>
                <w:rFonts w:hint="eastAsia" w:asciiTheme="minorEastAsia" w:hAnsiTheme="minorEastAsia" w:eastAsiaTheme="minorEastAsia" w:cstheme="minorEastAsia"/>
                <w:sz w:val="24"/>
                <w:szCs w:val="24"/>
              </w:rPr>
            </w:pPr>
          </w:p>
        </w:tc>
        <w:tc>
          <w:tcPr>
            <w:tcW w:w="2814" w:type="dxa"/>
            <w:tcBorders>
              <w:top w:val="single" w:color="auto" w:sz="4" w:space="0"/>
            </w:tcBorders>
            <w:shd w:val="clear" w:color="auto" w:fill="auto"/>
            <w:vAlign w:val="center"/>
          </w:tcPr>
          <w:p w14:paraId="6D666D47">
            <w:pPr>
              <w:pStyle w:val="7"/>
              <w:jc w:val="both"/>
              <w:rPr>
                <w:rFonts w:hint="eastAsia" w:asciiTheme="minorEastAsia" w:hAnsiTheme="minorEastAsia" w:cstheme="minorEastAsia"/>
                <w:sz w:val="24"/>
                <w:szCs w:val="24"/>
                <w:lang w:val="en-US" w:eastAsia="zh-CN"/>
              </w:rPr>
            </w:pPr>
            <w:r>
              <w:rPr>
                <w:rFonts w:hint="eastAsia" w:asciiTheme="minorEastAsia" w:hAnsiTheme="minorEastAsia" w:cstheme="minorEastAsia"/>
                <w:sz w:val="24"/>
                <w:szCs w:val="24"/>
                <w:lang w:val="en-US" w:eastAsia="zh-CN"/>
              </w:rPr>
              <w:t>同类业绩（10分）</w:t>
            </w:r>
          </w:p>
        </w:tc>
        <w:tc>
          <w:tcPr>
            <w:tcW w:w="5625" w:type="dxa"/>
            <w:tcBorders>
              <w:top w:val="single" w:color="auto" w:sz="4" w:space="0"/>
            </w:tcBorders>
            <w:vAlign w:val="center"/>
          </w:tcPr>
          <w:p w14:paraId="0B4DF789">
            <w:pPr>
              <w:pStyle w:val="7"/>
              <w:jc w:val="both"/>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lang w:eastAsia="zh-CN"/>
              </w:rPr>
              <w:t>响应供应商自202</w:t>
            </w:r>
            <w:r>
              <w:rPr>
                <w:rFonts w:hint="eastAsia" w:asciiTheme="minorEastAsia" w:hAnsiTheme="minorEastAsia" w:cstheme="minorEastAsia"/>
                <w:sz w:val="24"/>
                <w:szCs w:val="24"/>
                <w:lang w:val="en-US" w:eastAsia="zh-CN"/>
              </w:rPr>
              <w:t>1</w:t>
            </w:r>
            <w:r>
              <w:rPr>
                <w:rFonts w:hint="eastAsia" w:asciiTheme="minorEastAsia" w:hAnsiTheme="minorEastAsia" w:eastAsiaTheme="minorEastAsia" w:cstheme="minorEastAsia"/>
                <w:sz w:val="24"/>
                <w:szCs w:val="24"/>
                <w:lang w:eastAsia="zh-CN"/>
              </w:rPr>
              <w:t>年至投标截止时间前（以合同签订日期为准）完成的类似项目业绩，每提供一个业绩合同得2分，最高得10分。</w:t>
            </w:r>
          </w:p>
          <w:p w14:paraId="53E57185">
            <w:pPr>
              <w:pStyle w:val="7"/>
              <w:jc w:val="both"/>
              <w:rPr>
                <w:rFonts w:hint="default" w:asciiTheme="minorEastAsia" w:hAnsiTheme="minorEastAsia" w:eastAsiaTheme="minorEastAsia" w:cstheme="minorEastAsia"/>
                <w:sz w:val="24"/>
                <w:szCs w:val="24"/>
                <w:lang w:val="en-US" w:eastAsia="zh-Hans"/>
              </w:rPr>
            </w:pPr>
            <w:r>
              <w:rPr>
                <w:rFonts w:hint="eastAsia" w:asciiTheme="minorEastAsia" w:hAnsiTheme="minorEastAsia" w:eastAsiaTheme="minorEastAsia" w:cstheme="minorEastAsia"/>
                <w:sz w:val="24"/>
                <w:szCs w:val="24"/>
                <w:lang w:eastAsia="zh-CN"/>
              </w:rPr>
              <w:t>注：须提供合同关键复印件加盖响应供应商公章。同一客户或同一项目提供多项业绩的，按一项计算，无证明材料或不清晰专家无法判定的不得分。</w:t>
            </w:r>
          </w:p>
        </w:tc>
      </w:tr>
      <w:tr w14:paraId="5D7E44E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52" w:hRule="atLeast"/>
        </w:trPr>
        <w:tc>
          <w:tcPr>
            <w:tcW w:w="1446" w:type="dxa"/>
            <w:vAlign w:val="center"/>
          </w:tcPr>
          <w:p w14:paraId="5CA84F46">
            <w:pPr>
              <w:pStyle w:val="7"/>
              <w:jc w:val="center"/>
              <w:rPr>
                <w:rFonts w:hint="eastAsia" w:asciiTheme="minorEastAsia" w:hAnsiTheme="minorEastAsia" w:eastAsiaTheme="minorEastAsia" w:cstheme="minorEastAsia"/>
                <w:sz w:val="24"/>
                <w:szCs w:val="24"/>
                <w:lang w:eastAsia="zh-CN"/>
              </w:rPr>
            </w:pPr>
            <w:r>
              <w:rPr>
                <w:rFonts w:hint="eastAsia" w:asciiTheme="minorEastAsia" w:hAnsiTheme="minorEastAsia" w:cstheme="minorEastAsia"/>
                <w:sz w:val="24"/>
                <w:szCs w:val="24"/>
                <w:lang w:eastAsia="zh-CN"/>
              </w:rPr>
              <w:t>报价得分</w:t>
            </w:r>
          </w:p>
        </w:tc>
        <w:tc>
          <w:tcPr>
            <w:tcW w:w="2814" w:type="dxa"/>
            <w:vAlign w:val="center"/>
          </w:tcPr>
          <w:p w14:paraId="6E99A9EE">
            <w:pPr>
              <w:pStyle w:val="7"/>
              <w:jc w:val="both"/>
              <w:rPr>
                <w:rFonts w:hint="eastAsia" w:asciiTheme="minorEastAsia" w:hAnsiTheme="minorEastAsia" w:eastAsiaTheme="minorEastAsia" w:cstheme="minorEastAsia"/>
                <w:sz w:val="24"/>
                <w:szCs w:val="24"/>
              </w:rPr>
            </w:pPr>
            <w:r>
              <w:rPr>
                <w:rFonts w:asciiTheme="minorEastAsia" w:hAnsiTheme="minorEastAsia" w:cstheme="minorEastAsia"/>
                <w:sz w:val="24"/>
                <w:szCs w:val="24"/>
              </w:rPr>
              <w:t>投标报价得分 (</w:t>
            </w:r>
            <w:r>
              <w:rPr>
                <w:rFonts w:hint="eastAsia" w:asciiTheme="minorEastAsia" w:hAnsiTheme="minorEastAsia" w:cstheme="minorEastAsia"/>
                <w:sz w:val="24"/>
                <w:szCs w:val="24"/>
                <w:lang w:val="en-US" w:eastAsia="zh-CN"/>
              </w:rPr>
              <w:t>3</w:t>
            </w:r>
            <w:r>
              <w:rPr>
                <w:rFonts w:asciiTheme="minorEastAsia" w:hAnsiTheme="minorEastAsia" w:cstheme="minorEastAsia"/>
                <w:sz w:val="24"/>
                <w:szCs w:val="24"/>
                <w:lang w:eastAsia="zh-CN"/>
              </w:rPr>
              <w:t>0</w:t>
            </w:r>
            <w:r>
              <w:rPr>
                <w:rFonts w:asciiTheme="minorEastAsia" w:hAnsiTheme="minorEastAsia" w:cstheme="minorEastAsia"/>
                <w:sz w:val="24"/>
                <w:szCs w:val="24"/>
              </w:rPr>
              <w:t>分)</w:t>
            </w:r>
          </w:p>
        </w:tc>
        <w:tc>
          <w:tcPr>
            <w:tcW w:w="5625" w:type="dxa"/>
            <w:vAlign w:val="center"/>
          </w:tcPr>
          <w:p w14:paraId="57635E99">
            <w:pPr>
              <w:pStyle w:val="7"/>
              <w:jc w:val="both"/>
              <w:rPr>
                <w:rFonts w:hint="default" w:asciiTheme="minorEastAsia" w:hAnsiTheme="minorEastAsia" w:eastAsiaTheme="minorEastAsia" w:cstheme="minorEastAsia"/>
                <w:sz w:val="24"/>
                <w:szCs w:val="24"/>
                <w:lang w:val="en-US" w:eastAsia="zh-CN"/>
              </w:rPr>
            </w:pPr>
            <w:r>
              <w:rPr>
                <w:rFonts w:asciiTheme="minorEastAsia" w:hAnsiTheme="minorEastAsia" w:cstheme="minorEastAsia"/>
                <w:sz w:val="24"/>
                <w:szCs w:val="24"/>
              </w:rPr>
              <w:t>投标报价得分＝（投标报价/</w:t>
            </w:r>
            <w:bookmarkStart w:id="0" w:name="_GoBack"/>
            <w:bookmarkEnd w:id="0"/>
            <w:r>
              <w:rPr>
                <w:rFonts w:asciiTheme="minorEastAsia" w:hAnsiTheme="minorEastAsia" w:cstheme="minorEastAsia"/>
                <w:sz w:val="24"/>
                <w:szCs w:val="24"/>
              </w:rPr>
              <w:t>评标基准价）×价格分值【注：取最高报价金额作为评标基准价。】</w:t>
            </w:r>
          </w:p>
        </w:tc>
      </w:tr>
    </w:tbl>
    <w:p w14:paraId="5E75ACFA">
      <w:pPr>
        <w:rPr>
          <w:rFonts w:hint="eastAsia" w:ascii="微软雅黑" w:hAnsi="微软雅黑" w:eastAsia="微软雅黑" w:cs="微软雅黑"/>
          <w:i w:val="0"/>
          <w:caps w:val="0"/>
          <w:color w:val="333333"/>
          <w:spacing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auto"/>
    <w:pitch w:val="default"/>
    <w:sig w:usb0="E0002EFF" w:usb1="C000785B" w:usb2="00000009" w:usb3="00000000" w:csb0="400001FF" w:csb1="FFFF0000"/>
  </w:font>
  <w:font w:name="宋体">
    <w:panose1 w:val="02010600030101010101"/>
    <w:charset w:val="88"/>
    <w:family w:val="roma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7AAA"/>
    <w:rsid w:val="00437AAA"/>
    <w:rsid w:val="0C971069"/>
    <w:rsid w:val="101777D0"/>
    <w:rsid w:val="14DE7A78"/>
    <w:rsid w:val="16065380"/>
    <w:rsid w:val="1D3844A7"/>
    <w:rsid w:val="287A108B"/>
    <w:rsid w:val="2AA924BF"/>
    <w:rsid w:val="31AB5AF9"/>
    <w:rsid w:val="31FC1E1A"/>
    <w:rsid w:val="38DE6AF0"/>
    <w:rsid w:val="3B57767D"/>
    <w:rsid w:val="43F069E4"/>
    <w:rsid w:val="47EE4D13"/>
    <w:rsid w:val="4B504E0E"/>
    <w:rsid w:val="545947C6"/>
    <w:rsid w:val="5569401C"/>
    <w:rsid w:val="578D5E70"/>
    <w:rsid w:val="5BF16B86"/>
    <w:rsid w:val="5FBE436D"/>
    <w:rsid w:val="5FE96830"/>
    <w:rsid w:val="60FC785F"/>
    <w:rsid w:val="61AD4AEE"/>
    <w:rsid w:val="64AA125C"/>
    <w:rsid w:val="6B143E4E"/>
    <w:rsid w:val="6B8971C8"/>
    <w:rsid w:val="6D753291"/>
    <w:rsid w:val="739E56DC"/>
    <w:rsid w:val="749E7017"/>
    <w:rsid w:val="78260627"/>
    <w:rsid w:val="78D67834"/>
    <w:rsid w:val="7F2503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semiHidden/>
    <w:unhideWhenUsed/>
    <w:qFormat/>
    <w:uiPriority w:val="99"/>
    <w:pPr>
      <w:widowControl/>
      <w:spacing w:before="100" w:beforeAutospacing="1" w:after="100" w:afterAutospacing="1"/>
      <w:jc w:val="left"/>
    </w:pPr>
    <w:rPr>
      <w:rFonts w:ascii="宋体" w:hAnsi="宋体" w:eastAsia="宋体" w:cs="宋体"/>
      <w:kern w:val="0"/>
      <w:sz w:val="24"/>
      <w:szCs w:val="24"/>
    </w:rPr>
  </w:style>
  <w:style w:type="table" w:styleId="5">
    <w:name w:val="Table Grid"/>
    <w:basedOn w:val="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
    <w:name w:val="null3"/>
    <w:hidden/>
    <w:qFormat/>
    <w:uiPriority w:val="0"/>
    <w:rPr>
      <w:rFonts w:hint="eastAsia" w:asciiTheme="minorHAnsi" w:hAnsiTheme="minorHAnsi" w:eastAsiaTheme="minorEastAsia" w:cstheme="minorBidi"/>
      <w:lang w:val="en-US" w:eastAsia="zh-Hans"/>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和乐镇</Company>
  <Pages>3</Pages>
  <Words>1109</Words>
  <Characters>1164</Characters>
  <Lines>0</Lines>
  <Paragraphs>0</Paragraphs>
  <TotalTime>3</TotalTime>
  <ScaleCrop>false</ScaleCrop>
  <LinksUpToDate>false</LinksUpToDate>
  <CharactersWithSpaces>1205</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2023-12-08T08:00:00Z</dcterms:created>
  <dc:creator>QQ</dc:creator>
  <cp:lastModifiedBy>Top_x</cp:lastModifiedBy>
  <cp:lastPrinted>2025-01-07T00:25:04Z</cp:lastPrinted>
  <dcterms:modified xsi:type="dcterms:W3CDTF">2025-01-07T00:25:10Z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57DBF2D6C78B4CB082A015E5057F30E5_13</vt:lpwstr>
  </property>
  <property fmtid="{D5CDD505-2E9C-101B-9397-08002B2CF9AE}" pid="4" name="KSOTemplateDocerSaveRecord">
    <vt:lpwstr>eyJoZGlkIjoiYzBlNjcwYzRkZWZjNTRkYmNjNzk4MWUxNzNjZDZjNTkiLCJ1c2VySWQiOiI2MjU1NTI2NzcifQ==</vt:lpwstr>
  </property>
</Properties>
</file>